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3D894E" w14:textId="77777777" w:rsidR="00B75160" w:rsidRDefault="00B751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5"/>
        <w:tblW w:w="963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61"/>
        <w:gridCol w:w="2309"/>
        <w:gridCol w:w="2204"/>
        <w:gridCol w:w="1470"/>
        <w:gridCol w:w="390"/>
        <w:gridCol w:w="3101"/>
      </w:tblGrid>
      <w:tr w:rsidR="00B75160" w14:paraId="770E2C96" w14:textId="77777777">
        <w:trPr>
          <w:trHeight w:val="819"/>
        </w:trPr>
        <w:tc>
          <w:tcPr>
            <w:tcW w:w="4650" w:type="dxa"/>
            <w:gridSpan w:val="3"/>
            <w:shd w:val="clear" w:color="auto" w:fill="auto"/>
          </w:tcPr>
          <w:p w14:paraId="03C97312" w14:textId="77777777" w:rsidR="00B751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8"/>
                <w:szCs w:val="18"/>
              </w:rPr>
            </w:pPr>
            <w:r>
              <w:rPr>
                <w:rFonts w:ascii="FreeSerif" w:eastAsia="FreeSerif" w:hAnsi="FreeSerif" w:cs="FreeSerif"/>
                <w:noProof/>
                <w:color w:val="666666"/>
                <w:sz w:val="18"/>
                <w:szCs w:val="18"/>
              </w:rPr>
              <w:drawing>
                <wp:inline distT="0" distB="0" distL="0" distR="0" wp14:anchorId="3EE1647F" wp14:editId="67D93A52">
                  <wp:extent cx="2898775" cy="1009015"/>
                  <wp:effectExtent l="0" t="0" r="0" b="0"/>
                  <wp:docPr id="1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l="-176" t="-505" r="-177" b="-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775" cy="10090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gridSpan w:val="2"/>
            <w:shd w:val="clear" w:color="auto" w:fill="auto"/>
          </w:tcPr>
          <w:p w14:paraId="62502538" w14:textId="77777777" w:rsidR="00B75160" w:rsidRDefault="00B751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eration Sans Narrow" w:eastAsia="Liberation Sans Narrow" w:hAnsi="Liberation Sans Narrow" w:cs="Liberation Sans Narrow"/>
                <w:color w:val="000000"/>
                <w:sz w:val="18"/>
                <w:szCs w:val="18"/>
              </w:rPr>
            </w:pPr>
          </w:p>
        </w:tc>
        <w:tc>
          <w:tcPr>
            <w:tcW w:w="3116" w:type="dxa"/>
            <w:shd w:val="clear" w:color="auto" w:fill="auto"/>
          </w:tcPr>
          <w:p w14:paraId="37B0D193" w14:textId="77777777" w:rsidR="00B751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mallCaps/>
                <w:color w:val="666666"/>
                <w:sz w:val="10"/>
                <w:szCs w:val="10"/>
              </w:rPr>
            </w:pPr>
            <w:r>
              <w:rPr>
                <w:rFonts w:ascii="FreeSerif" w:eastAsia="FreeSerif" w:hAnsi="FreeSerif" w:cs="FreeSerif"/>
                <w:smallCaps/>
                <w:noProof/>
                <w:color w:val="666666"/>
                <w:sz w:val="18"/>
                <w:szCs w:val="18"/>
              </w:rPr>
              <w:drawing>
                <wp:inline distT="0" distB="0" distL="0" distR="0" wp14:anchorId="139F41FF" wp14:editId="5FB37DD2">
                  <wp:extent cx="551815" cy="586740"/>
                  <wp:effectExtent l="0" t="0" r="0" b="0"/>
                  <wp:docPr id="2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l="-281" t="-255" r="-276" b="-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586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564D463" w14:textId="77777777" w:rsidR="00B75160" w:rsidRDefault="00B751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mallCaps/>
                <w:color w:val="666666"/>
                <w:sz w:val="10"/>
                <w:szCs w:val="10"/>
              </w:rPr>
            </w:pPr>
          </w:p>
          <w:p w14:paraId="5834A797" w14:textId="77777777" w:rsidR="00B751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  <w:r>
              <w:rPr>
                <w:rFonts w:ascii="FreeSerif" w:eastAsia="FreeSerif" w:hAnsi="FreeSerif" w:cs="FreeSerif"/>
                <w:smallCaps/>
                <w:noProof/>
                <w:color w:val="666666"/>
                <w:sz w:val="18"/>
                <w:szCs w:val="18"/>
              </w:rPr>
              <w:drawing>
                <wp:inline distT="0" distB="0" distL="0" distR="0" wp14:anchorId="03EEC53F" wp14:editId="7A11C133">
                  <wp:extent cx="1527175" cy="370840"/>
                  <wp:effectExtent l="0" t="0" r="0" b="0"/>
                  <wp:docPr id="20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l="-67" t="-281" r="-65" b="-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75" cy="370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160" w14:paraId="500F9A8C" w14:textId="77777777">
        <w:tc>
          <w:tcPr>
            <w:tcW w:w="115" w:type="dxa"/>
            <w:shd w:val="clear" w:color="auto" w:fill="auto"/>
          </w:tcPr>
          <w:p w14:paraId="75D1636F" w14:textId="77777777" w:rsidR="00B75160" w:rsidRDefault="00B751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</w:p>
        </w:tc>
        <w:tc>
          <w:tcPr>
            <w:tcW w:w="9520" w:type="dxa"/>
            <w:gridSpan w:val="5"/>
            <w:shd w:val="clear" w:color="auto" w:fill="auto"/>
          </w:tcPr>
          <w:p w14:paraId="7CE09DB8" w14:textId="77777777" w:rsidR="00B751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/>
              </w:rPr>
            </w:pPr>
            <w:r>
              <w:rPr>
                <w:rFonts w:ascii="Arial" w:eastAsia="Arial" w:hAnsi="Arial" w:cs="Arial"/>
                <w:i/>
                <w:color w:val="666666"/>
                <w:sz w:val="16"/>
                <w:szCs w:val="16"/>
              </w:rPr>
              <w:t>agraria agroalimentare agroindustria | chimica, materiali e biotecnologie | costruzioni, ambiente e territorio | sistema moda | servizi per la sanità e l'assistenza sociale | corso operatore del benessere | agenzia formativa Regione Toscana  IS0059 – ISO9001</w:t>
            </w:r>
          </w:p>
        </w:tc>
      </w:tr>
      <w:tr w:rsidR="00B75160" w14:paraId="6EEBA5A4" w14:textId="77777777">
        <w:tc>
          <w:tcPr>
            <w:tcW w:w="115" w:type="dxa"/>
            <w:shd w:val="clear" w:color="auto" w:fill="auto"/>
          </w:tcPr>
          <w:p w14:paraId="01A8CCB2" w14:textId="77777777" w:rsidR="00B75160" w:rsidRDefault="00B751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</w:p>
        </w:tc>
        <w:tc>
          <w:tcPr>
            <w:tcW w:w="2320" w:type="dxa"/>
            <w:tcBorders>
              <w:bottom w:val="single" w:sz="8" w:space="0" w:color="3333FF"/>
            </w:tcBorders>
            <w:shd w:val="clear" w:color="auto" w:fill="auto"/>
          </w:tcPr>
          <w:p w14:paraId="43C1885A" w14:textId="77777777" w:rsidR="00B751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b/>
                <w:color w:val="000000"/>
                <w:sz w:val="18"/>
                <w:szCs w:val="18"/>
              </w:rPr>
              <w:t>www.e-santoni.edu.it</w:t>
            </w:r>
          </w:p>
        </w:tc>
        <w:tc>
          <w:tcPr>
            <w:tcW w:w="3692" w:type="dxa"/>
            <w:gridSpan w:val="2"/>
            <w:tcBorders>
              <w:bottom w:val="single" w:sz="8" w:space="0" w:color="3333FF"/>
            </w:tcBorders>
            <w:shd w:val="clear" w:color="auto" w:fill="auto"/>
          </w:tcPr>
          <w:p w14:paraId="7298CDAB" w14:textId="77777777" w:rsidR="00B751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18"/>
                <w:szCs w:val="18"/>
              </w:rPr>
              <w:t xml:space="preserve">e-mail: </w:t>
            </w:r>
            <w:r>
              <w:rPr>
                <w:rFonts w:ascii="Calibri" w:eastAsia="Calibri" w:hAnsi="Calibri"/>
                <w:b/>
                <w:color w:val="000000"/>
                <w:sz w:val="18"/>
                <w:szCs w:val="18"/>
              </w:rPr>
              <w:t>piis003007@istruzione.it</w:t>
            </w:r>
          </w:p>
        </w:tc>
        <w:tc>
          <w:tcPr>
            <w:tcW w:w="3508" w:type="dxa"/>
            <w:gridSpan w:val="2"/>
            <w:tcBorders>
              <w:bottom w:val="single" w:sz="8" w:space="0" w:color="3333FF"/>
            </w:tcBorders>
            <w:shd w:val="clear" w:color="auto" w:fill="auto"/>
          </w:tcPr>
          <w:p w14:paraId="6B1710C7" w14:textId="77777777" w:rsidR="00B751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18"/>
                <w:szCs w:val="18"/>
              </w:rPr>
              <w:t xml:space="preserve">PEC: </w:t>
            </w:r>
            <w:r>
              <w:rPr>
                <w:rFonts w:ascii="Calibri" w:eastAsia="Calibri" w:hAnsi="Calibri"/>
                <w:b/>
                <w:color w:val="000000"/>
                <w:sz w:val="18"/>
                <w:szCs w:val="18"/>
              </w:rPr>
              <w:t>piis003007@pec.istruzione.it</w:t>
            </w:r>
          </w:p>
        </w:tc>
      </w:tr>
    </w:tbl>
    <w:p w14:paraId="613E6E73" w14:textId="77777777" w:rsidR="00B75160" w:rsidRDefault="00B75160"/>
    <w:p w14:paraId="332024F1" w14:textId="77777777" w:rsidR="00B7516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Calibri" w:eastAsia="Calibri" w:hAnsi="Calibri"/>
          <w:b/>
          <w:color w:val="000000"/>
          <w:sz w:val="28"/>
          <w:szCs w:val="28"/>
        </w:rPr>
      </w:pPr>
      <w:bookmarkStart w:id="0" w:name="_heading=h.gjdgxs" w:colFirst="0" w:colLast="0"/>
      <w:bookmarkEnd w:id="0"/>
      <w:r>
        <w:rPr>
          <w:rFonts w:ascii="Calibri" w:eastAsia="Calibri" w:hAnsi="Calibri"/>
          <w:b/>
          <w:color w:val="000000"/>
          <w:sz w:val="28"/>
          <w:szCs w:val="28"/>
        </w:rPr>
        <w:t>PIANO DI LAVORO PUBBLICO ANNUALE DEL DOCENTE A.S. 20</w:t>
      </w:r>
      <w:r>
        <w:rPr>
          <w:rFonts w:ascii="Calibri" w:eastAsia="Calibri" w:hAnsi="Calibri"/>
          <w:b/>
          <w:sz w:val="28"/>
          <w:szCs w:val="28"/>
        </w:rPr>
        <w:t>24</w:t>
      </w:r>
      <w:r>
        <w:rPr>
          <w:rFonts w:ascii="Calibri" w:eastAsia="Calibri" w:hAnsi="Calibri"/>
          <w:b/>
          <w:color w:val="000000"/>
          <w:sz w:val="28"/>
          <w:szCs w:val="28"/>
        </w:rPr>
        <w:t>/2</w:t>
      </w:r>
      <w:r>
        <w:rPr>
          <w:rFonts w:ascii="Calibri" w:eastAsia="Calibri" w:hAnsi="Calibri"/>
          <w:b/>
          <w:sz w:val="28"/>
          <w:szCs w:val="28"/>
        </w:rPr>
        <w:t>5</w:t>
      </w:r>
    </w:p>
    <w:p w14:paraId="7336125B" w14:textId="77777777" w:rsidR="00B75160" w:rsidRDefault="00B7516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C6B20F8" w14:textId="77777777" w:rsidR="00B75160" w:rsidRDefault="00B75160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bookmarkStart w:id="1" w:name="_heading=h.4muz54wz7ni7" w:colFirst="0" w:colLast="0"/>
      <w:bookmarkEnd w:id="1"/>
    </w:p>
    <w:p w14:paraId="34DCCA4C" w14:textId="19CC9EA4" w:rsidR="00B75160" w:rsidRDefault="00000000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2" w:name="_heading=h.1i4gvvmky6lf" w:colFirst="0" w:colLast="0"/>
      <w:bookmarkEnd w:id="2"/>
      <w:r>
        <w:rPr>
          <w:rFonts w:ascii="Calibri" w:eastAsia="Calibri" w:hAnsi="Calibri"/>
          <w:b/>
          <w:sz w:val="24"/>
          <w:szCs w:val="24"/>
        </w:rPr>
        <w:t>Nome e cognome della docente</w:t>
      </w:r>
      <w:r>
        <w:rPr>
          <w:rFonts w:ascii="Calibri" w:eastAsia="Calibri" w:hAnsi="Calibri"/>
          <w:sz w:val="24"/>
          <w:szCs w:val="24"/>
        </w:rPr>
        <w:t>:</w:t>
      </w:r>
      <w:r w:rsidR="005B26F8">
        <w:rPr>
          <w:rFonts w:ascii="Calibri" w:eastAsia="Calibri" w:hAnsi="Calibri"/>
          <w:sz w:val="24"/>
          <w:szCs w:val="24"/>
        </w:rPr>
        <w:t xml:space="preserve"> Agnese Muscarello</w:t>
      </w:r>
    </w:p>
    <w:p w14:paraId="1549975C" w14:textId="77777777" w:rsidR="00B75160" w:rsidRDefault="00B75160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3" w:name="_heading=h.jrsf0v17y9up" w:colFirst="0" w:colLast="0"/>
      <w:bookmarkEnd w:id="3"/>
    </w:p>
    <w:p w14:paraId="43405E6B" w14:textId="09935369" w:rsidR="00B75160" w:rsidRDefault="00000000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4" w:name="_heading=h.l4ln8tk5f5mi" w:colFirst="0" w:colLast="0"/>
      <w:bookmarkEnd w:id="4"/>
      <w:r>
        <w:rPr>
          <w:rFonts w:ascii="Calibri" w:eastAsia="Calibri" w:hAnsi="Calibri"/>
          <w:b/>
          <w:sz w:val="24"/>
          <w:szCs w:val="24"/>
        </w:rPr>
        <w:t>Disciplina insegnata</w:t>
      </w:r>
      <w:r>
        <w:rPr>
          <w:rFonts w:ascii="Calibri" w:eastAsia="Calibri" w:hAnsi="Calibri"/>
          <w:sz w:val="24"/>
          <w:szCs w:val="24"/>
        </w:rPr>
        <w:t xml:space="preserve">: </w:t>
      </w:r>
      <w:r w:rsidR="005B26F8">
        <w:rPr>
          <w:rFonts w:ascii="Calibri" w:eastAsia="Calibri" w:hAnsi="Calibri"/>
          <w:sz w:val="24"/>
          <w:szCs w:val="24"/>
        </w:rPr>
        <w:t>Anatomia</w:t>
      </w:r>
    </w:p>
    <w:p w14:paraId="1772F8FA" w14:textId="77777777" w:rsidR="00B75160" w:rsidRDefault="00B75160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5" w:name="_heading=h.kz53r8dcjmbb" w:colFirst="0" w:colLast="0"/>
      <w:bookmarkEnd w:id="5"/>
    </w:p>
    <w:p w14:paraId="7291F3C8" w14:textId="77777777" w:rsidR="005B26F8" w:rsidRDefault="00000000" w:rsidP="005B26F8">
      <w:pPr>
        <w:keepNext/>
        <w:tabs>
          <w:tab w:val="left" w:pos="70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Libro/i di testo in uso</w:t>
      </w:r>
      <w:r w:rsidR="005B26F8">
        <w:rPr>
          <w:rFonts w:ascii="Calibri" w:eastAsia="Calibri" w:hAnsi="Calibri"/>
          <w:b/>
          <w:sz w:val="24"/>
          <w:szCs w:val="24"/>
        </w:rPr>
        <w:t xml:space="preserve"> </w:t>
      </w:r>
    </w:p>
    <w:p w14:paraId="0DA152FB" w14:textId="773CCD03" w:rsidR="005B26F8" w:rsidRPr="00A450E4" w:rsidRDefault="005B26F8" w:rsidP="005B26F8">
      <w:pPr>
        <w:keepNext/>
        <w:tabs>
          <w:tab w:val="left" w:pos="708"/>
        </w:tabs>
        <w:rPr>
          <w:rFonts w:eastAsia="Calibri" w:cs="Times New Roman"/>
          <w:b/>
          <w:sz w:val="24"/>
          <w:szCs w:val="24"/>
        </w:rPr>
      </w:pPr>
      <w:bookmarkStart w:id="6" w:name="_Hlk183524329"/>
      <w:r w:rsidRPr="00A450E4">
        <w:rPr>
          <w:rFonts w:eastAsia="Calibri" w:cs="Times New Roman"/>
          <w:b/>
          <w:sz w:val="24"/>
          <w:szCs w:val="24"/>
        </w:rPr>
        <w:t>L’igiene, l’anatomia, e la fisiologia G. Neri. Ediz. San Marco</w:t>
      </w:r>
    </w:p>
    <w:p w14:paraId="00F916B1" w14:textId="77777777" w:rsidR="005B26F8" w:rsidRPr="00A450E4" w:rsidRDefault="005B26F8" w:rsidP="005B26F8">
      <w:pPr>
        <w:keepNext/>
        <w:tabs>
          <w:tab w:val="left" w:pos="708"/>
        </w:tabs>
        <w:rPr>
          <w:rFonts w:eastAsia="Calibri" w:cs="Times New Roman"/>
          <w:b/>
          <w:sz w:val="24"/>
          <w:szCs w:val="24"/>
        </w:rPr>
      </w:pPr>
      <w:r w:rsidRPr="00A450E4">
        <w:rPr>
          <w:rFonts w:eastAsia="Calibri" w:cs="Times New Roman"/>
          <w:b/>
          <w:sz w:val="24"/>
          <w:szCs w:val="24"/>
        </w:rPr>
        <w:t>La dermatologia G. Neri. Ediz. San Marco</w:t>
      </w:r>
    </w:p>
    <w:bookmarkEnd w:id="6"/>
    <w:p w14:paraId="449BE4BC" w14:textId="77777777" w:rsidR="00B75160" w:rsidRDefault="00B75160" w:rsidP="005B26F8">
      <w:pPr>
        <w:keepNext/>
        <w:tabs>
          <w:tab w:val="left" w:pos="708"/>
        </w:tabs>
        <w:rPr>
          <w:rFonts w:ascii="Calibri" w:eastAsia="Calibri" w:hAnsi="Calibri"/>
          <w:b/>
          <w:sz w:val="24"/>
          <w:szCs w:val="24"/>
        </w:rPr>
      </w:pPr>
    </w:p>
    <w:p w14:paraId="2BA2CC93" w14:textId="35D71806" w:rsidR="00B75160" w:rsidRDefault="00000000">
      <w:pPr>
        <w:keepNext/>
        <w:tabs>
          <w:tab w:val="left" w:pos="708"/>
        </w:tabs>
        <w:ind w:left="432"/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Classe e Sezione</w:t>
      </w:r>
      <w:r w:rsidR="005B26F8">
        <w:rPr>
          <w:rFonts w:ascii="Calibri" w:eastAsia="Calibri" w:hAnsi="Calibri"/>
          <w:b/>
          <w:sz w:val="24"/>
          <w:szCs w:val="24"/>
        </w:rPr>
        <w:t xml:space="preserve"> 4O</w:t>
      </w:r>
    </w:p>
    <w:p w14:paraId="1F8EF9CC" w14:textId="77777777" w:rsidR="00B75160" w:rsidRDefault="00B75160">
      <w:pPr>
        <w:keepNext/>
        <w:tabs>
          <w:tab w:val="left" w:pos="708"/>
        </w:tabs>
        <w:rPr>
          <w:rFonts w:ascii="Calibri" w:eastAsia="Calibri" w:hAnsi="Calibri"/>
          <w:b/>
          <w:sz w:val="24"/>
          <w:szCs w:val="24"/>
        </w:rPr>
      </w:pPr>
    </w:p>
    <w:p w14:paraId="4B11CB25" w14:textId="1782826D" w:rsidR="00B75160" w:rsidRDefault="00000000">
      <w:pPr>
        <w:keepNext/>
        <w:tabs>
          <w:tab w:val="left" w:pos="708"/>
        </w:tabs>
        <w:ind w:left="432"/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Indirizzo di studio</w:t>
      </w:r>
      <w:r w:rsidR="005B26F8">
        <w:rPr>
          <w:rFonts w:ascii="Calibri" w:eastAsia="Calibri" w:hAnsi="Calibri"/>
          <w:b/>
          <w:sz w:val="24"/>
          <w:szCs w:val="24"/>
        </w:rPr>
        <w:t xml:space="preserve"> Operatrici del benessere</w:t>
      </w:r>
    </w:p>
    <w:p w14:paraId="04AB2196" w14:textId="77777777" w:rsidR="00B75160" w:rsidRDefault="00B7516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3434347C" w14:textId="77777777" w:rsidR="00B75160" w:rsidRDefault="00B7516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1CE4D57" w14:textId="50B8A8EE" w:rsidR="00B7516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1. Competenze che si intendono sviluppare o traguardi di competenza</w:t>
      </w:r>
      <w:r w:rsidR="005B26F8">
        <w:rPr>
          <w:rFonts w:ascii="Calibri" w:eastAsia="Calibri" w:hAnsi="Calibri"/>
          <w:b/>
          <w:sz w:val="24"/>
          <w:szCs w:val="24"/>
        </w:rPr>
        <w:t xml:space="preserve">: </w:t>
      </w:r>
    </w:p>
    <w:p w14:paraId="1883ED97" w14:textId="636A5043" w:rsidR="00B75160" w:rsidRDefault="009D2C8F" w:rsidP="009D2C8F">
      <w:pPr>
        <w:keepNext/>
        <w:tabs>
          <w:tab w:val="left" w:pos="708"/>
        </w:tabs>
        <w:rPr>
          <w:rFonts w:eastAsia="Calibri" w:cs="Times New Roman"/>
          <w:b/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t xml:space="preserve">Le competenze individuate sono quelle individuate durante la programmazione con il </w:t>
      </w:r>
      <w:proofErr w:type="spellStart"/>
      <w:r>
        <w:rPr>
          <w:rFonts w:eastAsia="Calibri" w:cs="Times New Roman"/>
          <w:b/>
          <w:sz w:val="24"/>
          <w:szCs w:val="24"/>
        </w:rPr>
        <w:t>cdc</w:t>
      </w:r>
      <w:proofErr w:type="spellEnd"/>
      <w:r>
        <w:rPr>
          <w:rFonts w:eastAsia="Calibri" w:cs="Times New Roman"/>
          <w:b/>
          <w:sz w:val="24"/>
          <w:szCs w:val="24"/>
        </w:rPr>
        <w:t>.</w:t>
      </w:r>
    </w:p>
    <w:p w14:paraId="16F71A07" w14:textId="77777777" w:rsidR="009D2C8F" w:rsidRDefault="009D2C8F" w:rsidP="009D2C8F">
      <w:pPr>
        <w:numPr>
          <w:ilvl w:val="0"/>
          <w:numId w:val="3"/>
        </w:numP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Raccomandazione del Consiglio europeo del 22 maggio 2018 relativa alle competenze chiave per l’apprendimento permanente</w:t>
      </w:r>
    </w:p>
    <w:p w14:paraId="20AE31F2" w14:textId="77777777" w:rsidR="009D2C8F" w:rsidRDefault="009D2C8F" w:rsidP="009D2C8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</w:p>
    <w:p w14:paraId="4C98A4CD" w14:textId="55BEDB9E" w:rsidR="009D2C8F" w:rsidRPr="009D2C8F" w:rsidRDefault="009D2C8F" w:rsidP="009D2C8F">
      <w:pPr>
        <w:keepNext/>
        <w:tabs>
          <w:tab w:val="left" w:pos="708"/>
        </w:tabs>
        <w:rPr>
          <w:rFonts w:eastAsia="Calibri" w:cs="Times New Roman"/>
          <w:b/>
          <w:sz w:val="24"/>
          <w:szCs w:val="24"/>
        </w:rPr>
      </w:pPr>
      <w:r>
        <w:t>competenza alfabetica funzionale; competenza matematica e competenza di base in scienze e tecnologie; • competenza digitale; • competenza personale, sociale e capacità di imparare ad imparare; • competenza sociale e civica in materia di cittadinanza;</w:t>
      </w:r>
    </w:p>
    <w:p w14:paraId="183E77F9" w14:textId="77777777" w:rsidR="00B75160" w:rsidRDefault="00B7516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2F8D5530" w14:textId="77777777" w:rsidR="00B7516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2. Descrizione di conoscenze e abilità, suddivise in percorsi didattici, evidenziando per ognuna quelle essenziali o minime </w:t>
      </w:r>
    </w:p>
    <w:p w14:paraId="0233430F" w14:textId="6D07E85E" w:rsidR="00B75160" w:rsidRDefault="00B7516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494FD01C" w14:textId="2ABDB21C" w:rsidR="005B26F8" w:rsidRPr="005B26F8" w:rsidRDefault="005B26F8" w:rsidP="005B26F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UF1 </w:t>
      </w:r>
      <w:r w:rsidRPr="005B26F8">
        <w:rPr>
          <w:rFonts w:ascii="Calibri" w:eastAsia="Calibri" w:hAnsi="Calibri"/>
          <w:b/>
          <w:sz w:val="24"/>
          <w:szCs w:val="24"/>
        </w:rPr>
        <w:t>:  ANA 4.1 Elementi di igiene ed epidemiologia</w:t>
      </w:r>
    </w:p>
    <w:p w14:paraId="15EF9F03" w14:textId="4A66B8B5" w:rsidR="005B26F8" w:rsidRPr="005B26F8" w:rsidRDefault="005B26F8" w:rsidP="005B26F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 w:rsidRPr="005B26F8">
        <w:rPr>
          <w:rFonts w:ascii="Calibri" w:eastAsia="Calibri" w:hAnsi="Calibri"/>
          <w:b/>
          <w:sz w:val="24"/>
          <w:szCs w:val="24"/>
        </w:rPr>
        <w:t>Durata: 19</w:t>
      </w:r>
      <w:r>
        <w:rPr>
          <w:rFonts w:ascii="Calibri" w:eastAsia="Calibri" w:hAnsi="Calibri"/>
          <w:b/>
          <w:sz w:val="24"/>
          <w:szCs w:val="24"/>
        </w:rPr>
        <w:t>H</w:t>
      </w:r>
    </w:p>
    <w:p w14:paraId="5B4A415A" w14:textId="77777777" w:rsidR="00B7516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Conoscenze:</w:t>
      </w:r>
    </w:p>
    <w:p w14:paraId="664BD6AB" w14:textId="63CF9536" w:rsidR="005B26F8" w:rsidRPr="005B26F8" w:rsidRDefault="005B26F8" w:rsidP="005B26F8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sz w:val="24"/>
          <w:szCs w:val="24"/>
        </w:rPr>
      </w:pPr>
      <w:r w:rsidRPr="005B26F8">
        <w:rPr>
          <w:sz w:val="24"/>
          <w:szCs w:val="24"/>
        </w:rPr>
        <w:t>L’igiene della persona, degli ambienti e della strumentazione.</w:t>
      </w:r>
    </w:p>
    <w:p w14:paraId="0677538A" w14:textId="582A2409" w:rsidR="005B26F8" w:rsidRPr="005B26F8" w:rsidRDefault="005B26F8" w:rsidP="005B26F8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sz w:val="24"/>
          <w:szCs w:val="24"/>
        </w:rPr>
      </w:pPr>
      <w:r w:rsidRPr="005B26F8">
        <w:rPr>
          <w:sz w:val="24"/>
          <w:szCs w:val="24"/>
        </w:rPr>
        <w:t>Detersione, disinfezione, sterilizzazione e sanitizzazione</w:t>
      </w:r>
    </w:p>
    <w:p w14:paraId="2ACC7A73" w14:textId="0E73325C" w:rsidR="005B26F8" w:rsidRPr="005B26F8" w:rsidRDefault="005B26F8" w:rsidP="005B26F8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sz w:val="24"/>
          <w:szCs w:val="24"/>
        </w:rPr>
      </w:pPr>
      <w:r w:rsidRPr="005B26F8">
        <w:rPr>
          <w:sz w:val="24"/>
          <w:szCs w:val="24"/>
        </w:rPr>
        <w:t>Le malattie infettive a contagio ematico</w:t>
      </w:r>
    </w:p>
    <w:p w14:paraId="7FAECE05" w14:textId="286373FD" w:rsidR="005B26F8" w:rsidRPr="004F3A36" w:rsidRDefault="005B26F8" w:rsidP="005B26F8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sz w:val="24"/>
          <w:szCs w:val="24"/>
        </w:rPr>
      </w:pPr>
      <w:r w:rsidRPr="005B26F8">
        <w:rPr>
          <w:sz w:val="24"/>
          <w:szCs w:val="24"/>
        </w:rPr>
        <w:t>Rischio sanitario, fisico, chimico e tossicologico</w:t>
      </w:r>
    </w:p>
    <w:p w14:paraId="44B8BCA4" w14:textId="5106B62D" w:rsidR="005B26F8" w:rsidRPr="004F3A36" w:rsidRDefault="005B26F8" w:rsidP="004F3A36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sz w:val="24"/>
          <w:szCs w:val="24"/>
        </w:rPr>
      </w:pPr>
      <w:r w:rsidRPr="005B26F8">
        <w:rPr>
          <w:sz w:val="24"/>
          <w:szCs w:val="24"/>
        </w:rPr>
        <w:t>Conosce le caratteristiche dei microrganismi</w:t>
      </w:r>
    </w:p>
    <w:p w14:paraId="26018129" w14:textId="1F6F2A49" w:rsidR="005B26F8" w:rsidRPr="004F3A36" w:rsidRDefault="005B26F8" w:rsidP="004F3A36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sz w:val="24"/>
          <w:szCs w:val="24"/>
        </w:rPr>
      </w:pPr>
      <w:r w:rsidRPr="005B26F8">
        <w:rPr>
          <w:sz w:val="24"/>
          <w:szCs w:val="24"/>
        </w:rPr>
        <w:t>Elementi di epidemiologia:</w:t>
      </w:r>
      <w:r>
        <w:rPr>
          <w:sz w:val="24"/>
          <w:szCs w:val="24"/>
        </w:rPr>
        <w:t xml:space="preserve"> </w:t>
      </w:r>
      <w:r w:rsidRPr="005B26F8">
        <w:rPr>
          <w:sz w:val="24"/>
          <w:szCs w:val="24"/>
        </w:rPr>
        <w:t>trasmissione delle malattie infettive e profilassi.</w:t>
      </w:r>
    </w:p>
    <w:p w14:paraId="2635702A" w14:textId="074F96DB" w:rsidR="005B26F8" w:rsidRPr="004F3A36" w:rsidRDefault="005B26F8" w:rsidP="004F3A36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sz w:val="24"/>
          <w:szCs w:val="24"/>
        </w:rPr>
      </w:pPr>
      <w:r w:rsidRPr="005B26F8">
        <w:rPr>
          <w:sz w:val="24"/>
          <w:szCs w:val="24"/>
        </w:rPr>
        <w:lastRenderedPageBreak/>
        <w:t>Immunità e meccanismi di difesa.</w:t>
      </w:r>
    </w:p>
    <w:p w14:paraId="47CAB4ED" w14:textId="15B5C4F0" w:rsidR="005B26F8" w:rsidRPr="005B26F8" w:rsidRDefault="005B26F8" w:rsidP="005B26F8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sz w:val="24"/>
          <w:szCs w:val="24"/>
        </w:rPr>
      </w:pPr>
      <w:r w:rsidRPr="005B26F8">
        <w:rPr>
          <w:sz w:val="24"/>
          <w:szCs w:val="24"/>
        </w:rPr>
        <w:t>Difese naturali e artificiali contro i microrganismi.</w:t>
      </w:r>
    </w:p>
    <w:p w14:paraId="50B7AAE8" w14:textId="77777777" w:rsidR="005B26F8" w:rsidRPr="005B26F8" w:rsidRDefault="005B26F8" w:rsidP="005B26F8">
      <w:pPr>
        <w:pStyle w:val="Paragrafoelenco"/>
        <w:rPr>
          <w:sz w:val="24"/>
          <w:szCs w:val="24"/>
        </w:rPr>
      </w:pPr>
    </w:p>
    <w:p w14:paraId="2562A162" w14:textId="1FAB3BCD" w:rsidR="005B26F8" w:rsidRPr="004F3A36" w:rsidRDefault="005B26F8" w:rsidP="004F3A36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sz w:val="24"/>
          <w:szCs w:val="24"/>
        </w:rPr>
      </w:pPr>
      <w:r w:rsidRPr="005B26F8">
        <w:rPr>
          <w:sz w:val="24"/>
          <w:szCs w:val="24"/>
        </w:rPr>
        <w:t>Disinfezione, sterilizzazione.</w:t>
      </w:r>
    </w:p>
    <w:p w14:paraId="7B5F5D10" w14:textId="1FB31E5E" w:rsidR="005B26F8" w:rsidRPr="005B26F8" w:rsidRDefault="005B26F8" w:rsidP="005B26F8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sz w:val="24"/>
          <w:szCs w:val="24"/>
        </w:rPr>
      </w:pPr>
      <w:r w:rsidRPr="005B26F8">
        <w:rPr>
          <w:sz w:val="24"/>
          <w:szCs w:val="24"/>
        </w:rPr>
        <w:t>Malattie infettive legate all’attività professionale</w:t>
      </w:r>
    </w:p>
    <w:p w14:paraId="4ABA0C26" w14:textId="77777777" w:rsidR="00B75160" w:rsidRDefault="00B7516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E70E5EB" w14:textId="64413CCD" w:rsidR="00B75160" w:rsidRPr="005B26F8" w:rsidRDefault="00000000" w:rsidP="005B26F8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sz w:val="24"/>
          <w:szCs w:val="24"/>
        </w:rPr>
      </w:pPr>
      <w:r>
        <w:rPr>
          <w:rFonts w:cs="Calibri"/>
          <w:sz w:val="24"/>
          <w:szCs w:val="24"/>
        </w:rPr>
        <w:t>Abilità:</w:t>
      </w:r>
      <w:r w:rsidR="005B26F8">
        <w:rPr>
          <w:sz w:val="24"/>
          <w:szCs w:val="24"/>
        </w:rPr>
        <w:t xml:space="preserve"> a</w:t>
      </w:r>
      <w:r w:rsidR="005B26F8" w:rsidRPr="005B26F8">
        <w:rPr>
          <w:sz w:val="24"/>
          <w:szCs w:val="24"/>
        </w:rPr>
        <w:t>dotta comportamenti idonei e misure preventive in merito al contagio</w:t>
      </w:r>
      <w:r w:rsidR="005B26F8">
        <w:rPr>
          <w:sz w:val="24"/>
          <w:szCs w:val="24"/>
        </w:rPr>
        <w:t>; a</w:t>
      </w:r>
      <w:r w:rsidR="005B26F8" w:rsidRPr="005B26F8">
        <w:rPr>
          <w:sz w:val="24"/>
          <w:szCs w:val="24"/>
        </w:rPr>
        <w:t>pplica i fattori e i mezzi di difesa dell’ospite e degli ambienti</w:t>
      </w:r>
      <w:r w:rsidR="005B26F8">
        <w:rPr>
          <w:sz w:val="24"/>
          <w:szCs w:val="24"/>
        </w:rPr>
        <w:t xml:space="preserve"> </w:t>
      </w:r>
      <w:r w:rsidR="005B26F8" w:rsidRPr="005B26F8">
        <w:rPr>
          <w:sz w:val="24"/>
          <w:szCs w:val="24"/>
        </w:rPr>
        <w:t>(disinfezione e sterilizzazione)</w:t>
      </w:r>
      <w:r w:rsidR="005B26F8">
        <w:rPr>
          <w:sz w:val="24"/>
          <w:szCs w:val="24"/>
        </w:rPr>
        <w:t xml:space="preserve"> </w:t>
      </w:r>
      <w:r w:rsidR="005B26F8" w:rsidRPr="005B26F8">
        <w:rPr>
          <w:sz w:val="24"/>
          <w:szCs w:val="24"/>
        </w:rPr>
        <w:t>rispetta le norme igieniche di base per l’esercizio della professione</w:t>
      </w:r>
      <w:r w:rsidR="005B26F8">
        <w:rPr>
          <w:sz w:val="24"/>
          <w:szCs w:val="24"/>
        </w:rPr>
        <w:t>.</w:t>
      </w:r>
    </w:p>
    <w:p w14:paraId="2C315997" w14:textId="77777777" w:rsidR="00B75160" w:rsidRDefault="00B7516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C46BAF0" w14:textId="0DF36A2D" w:rsidR="00B7516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Obiettivi Minimi:</w:t>
      </w:r>
      <w:r w:rsidR="005B26F8">
        <w:rPr>
          <w:rFonts w:ascii="Calibri" w:eastAsia="Calibri" w:hAnsi="Calibri"/>
          <w:sz w:val="24"/>
          <w:szCs w:val="24"/>
        </w:rPr>
        <w:t xml:space="preserve"> Riconoscere i principi di igiene della persona e degli ambienti</w:t>
      </w:r>
    </w:p>
    <w:p w14:paraId="407E7529" w14:textId="77777777" w:rsidR="00B75160" w:rsidRDefault="00B7516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4E6175FE" w14:textId="78192FA0" w:rsidR="00B75160" w:rsidRDefault="005B26F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UF2</w:t>
      </w:r>
    </w:p>
    <w:p w14:paraId="4C200999" w14:textId="77777777" w:rsidR="005B26F8" w:rsidRPr="005B26F8" w:rsidRDefault="005B26F8" w:rsidP="005B26F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 w:rsidRPr="005B26F8">
        <w:rPr>
          <w:rFonts w:ascii="Calibri" w:eastAsia="Calibri" w:hAnsi="Calibri"/>
          <w:b/>
          <w:sz w:val="24"/>
          <w:szCs w:val="24"/>
        </w:rPr>
        <w:t>ANA 4.2/TEC 4.1 Elementi di dermatologia</w:t>
      </w:r>
    </w:p>
    <w:p w14:paraId="7512DFE9" w14:textId="763D1A56" w:rsidR="00B75160" w:rsidRDefault="005B26F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 w:rsidRPr="005B26F8">
        <w:rPr>
          <w:rFonts w:ascii="Calibri" w:eastAsia="Calibri" w:hAnsi="Calibri"/>
          <w:sz w:val="24"/>
          <w:szCs w:val="24"/>
        </w:rPr>
        <w:t>Durata: 28 (28 ore in compresenza conTEC4.1)</w:t>
      </w:r>
    </w:p>
    <w:p w14:paraId="20B0E734" w14:textId="047A1D37" w:rsidR="005B26F8" w:rsidRDefault="005B26F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Conoscenze:</w:t>
      </w:r>
    </w:p>
    <w:p w14:paraId="6A640FF8" w14:textId="42893E8D" w:rsidR="005B26F8" w:rsidRPr="005B26F8" w:rsidRDefault="005B26F8" w:rsidP="005B26F8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sz w:val="24"/>
          <w:szCs w:val="24"/>
        </w:rPr>
      </w:pPr>
      <w:r w:rsidRPr="005B26F8">
        <w:rPr>
          <w:sz w:val="24"/>
          <w:szCs w:val="24"/>
        </w:rPr>
        <w:t>Anatomia, fisiologia e biochimica della pelle</w:t>
      </w:r>
    </w:p>
    <w:p w14:paraId="1BC59D99" w14:textId="6F68FC6C" w:rsidR="005B26F8" w:rsidRPr="005B26F8" w:rsidRDefault="005B26F8" w:rsidP="005B26F8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sz w:val="24"/>
          <w:szCs w:val="24"/>
        </w:rPr>
      </w:pPr>
      <w:r w:rsidRPr="005B26F8">
        <w:rPr>
          <w:sz w:val="24"/>
          <w:szCs w:val="24"/>
        </w:rPr>
        <w:t>Discromie cutanee. Patologie degli annessi cutanei.</w:t>
      </w:r>
    </w:p>
    <w:p w14:paraId="7D47957A" w14:textId="77777777" w:rsidR="005B26F8" w:rsidRDefault="005B26F8" w:rsidP="005B26F8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sz w:val="24"/>
          <w:szCs w:val="24"/>
        </w:rPr>
      </w:pPr>
      <w:r w:rsidRPr="005B26F8">
        <w:rPr>
          <w:sz w:val="24"/>
          <w:szCs w:val="24"/>
        </w:rPr>
        <w:t>Patologie della cute di origine infettiva e allergica, irritativa.</w:t>
      </w:r>
    </w:p>
    <w:p w14:paraId="6C118A5A" w14:textId="77777777" w:rsidR="005B26F8" w:rsidRDefault="005B26F8" w:rsidP="005B26F8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sz w:val="24"/>
          <w:szCs w:val="24"/>
        </w:rPr>
      </w:pPr>
      <w:r w:rsidRPr="005B26F8">
        <w:rPr>
          <w:sz w:val="24"/>
          <w:szCs w:val="24"/>
        </w:rPr>
        <w:t>Dermatiti allergiche, irritative, atopiche, disidrosi e orticaria, eczemi, nevi.</w:t>
      </w:r>
    </w:p>
    <w:p w14:paraId="581A96F0" w14:textId="77777777" w:rsidR="005B26F8" w:rsidRDefault="005B26F8" w:rsidP="005B26F8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sz w:val="24"/>
          <w:szCs w:val="24"/>
        </w:rPr>
      </w:pPr>
      <w:r w:rsidRPr="005B26F8">
        <w:rPr>
          <w:sz w:val="24"/>
          <w:szCs w:val="24"/>
        </w:rPr>
        <w:t xml:space="preserve">Patologie a carico delle ghiandole sebacee, sudoripare, dei peli. </w:t>
      </w:r>
    </w:p>
    <w:p w14:paraId="065F3823" w14:textId="77777777" w:rsidR="005B26F8" w:rsidRDefault="005B26F8" w:rsidP="005B26F8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sz w:val="24"/>
          <w:szCs w:val="24"/>
        </w:rPr>
      </w:pPr>
      <w:r w:rsidRPr="005B26F8">
        <w:rPr>
          <w:sz w:val="24"/>
          <w:szCs w:val="24"/>
        </w:rPr>
        <w:t xml:space="preserve">Anomalie delle unghie. </w:t>
      </w:r>
    </w:p>
    <w:p w14:paraId="1AEF3C56" w14:textId="457DCE46" w:rsidR="005B26F8" w:rsidRPr="005B26F8" w:rsidRDefault="005B26F8" w:rsidP="005B26F8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sz w:val="24"/>
          <w:szCs w:val="24"/>
        </w:rPr>
      </w:pPr>
      <w:r w:rsidRPr="005B26F8">
        <w:rPr>
          <w:sz w:val="24"/>
          <w:szCs w:val="24"/>
        </w:rPr>
        <w:t>Acne</w:t>
      </w:r>
    </w:p>
    <w:p w14:paraId="02DE229B" w14:textId="3C3B0C3C" w:rsidR="005B26F8" w:rsidRPr="005B26F8" w:rsidRDefault="005B26F8" w:rsidP="005B26F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 xml:space="preserve">Abilità: </w:t>
      </w:r>
      <w:r w:rsidRPr="005B26F8">
        <w:rPr>
          <w:rFonts w:ascii="Calibri" w:eastAsia="Calibri" w:hAnsi="Calibri"/>
          <w:sz w:val="24"/>
          <w:szCs w:val="24"/>
        </w:rPr>
        <w:t>Conoscere le caratteristiche anatomo fisiologiche della pelle e degli annessi.</w:t>
      </w:r>
    </w:p>
    <w:p w14:paraId="7DCCC95B" w14:textId="5B3C99F4" w:rsidR="005B26F8" w:rsidRDefault="005B26F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 w:rsidRPr="005B26F8">
        <w:rPr>
          <w:rFonts w:ascii="Calibri" w:eastAsia="Calibri" w:hAnsi="Calibri"/>
          <w:sz w:val="24"/>
          <w:szCs w:val="24"/>
        </w:rPr>
        <w:t xml:space="preserve">Si orienta nel riconoscimento di semplici lesioni benigne della pelle </w:t>
      </w:r>
    </w:p>
    <w:p w14:paraId="5D03AD8E" w14:textId="77777777" w:rsidR="005B26F8" w:rsidRDefault="005B26F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ABFA55A" w14:textId="03176062" w:rsidR="005B26F8" w:rsidRDefault="005B26F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Obiettivi minimi: Conoscere l’anatomia della pelle e degli annessi cutanei per individuare alcune anomalie.</w:t>
      </w:r>
    </w:p>
    <w:p w14:paraId="591AAB15" w14:textId="77777777" w:rsidR="005B26F8" w:rsidRDefault="005B26F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A30FD94" w14:textId="77777777" w:rsidR="005B26F8" w:rsidRPr="005B26F8" w:rsidRDefault="005B26F8" w:rsidP="005B26F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 w:rsidRPr="005B26F8">
        <w:rPr>
          <w:rFonts w:ascii="Calibri" w:eastAsia="Calibri" w:hAnsi="Calibri"/>
          <w:b/>
          <w:bCs/>
          <w:sz w:val="24"/>
          <w:szCs w:val="24"/>
        </w:rPr>
        <w:t>UF3</w:t>
      </w:r>
      <w:r>
        <w:rPr>
          <w:rFonts w:ascii="Calibri" w:eastAsia="Calibri" w:hAnsi="Calibri"/>
          <w:sz w:val="24"/>
          <w:szCs w:val="24"/>
        </w:rPr>
        <w:t xml:space="preserve"> </w:t>
      </w:r>
      <w:r w:rsidRPr="005B26F8">
        <w:rPr>
          <w:rFonts w:ascii="Calibri" w:eastAsia="Calibri" w:hAnsi="Calibri"/>
          <w:b/>
          <w:sz w:val="24"/>
          <w:szCs w:val="24"/>
        </w:rPr>
        <w:t>ANA 4.3 Elementi di fisiologia e patologia</w:t>
      </w:r>
    </w:p>
    <w:p w14:paraId="447D140C" w14:textId="77777777" w:rsidR="005B26F8" w:rsidRDefault="005B26F8" w:rsidP="005B26F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 w:rsidRPr="005B26F8">
        <w:rPr>
          <w:rFonts w:ascii="Calibri" w:eastAsia="Calibri" w:hAnsi="Calibri"/>
          <w:sz w:val="24"/>
          <w:szCs w:val="24"/>
        </w:rPr>
        <w:t xml:space="preserve"> Durata: 37 (27 ore in compresenza con SMS4.1)</w:t>
      </w:r>
    </w:p>
    <w:p w14:paraId="78532CCF" w14:textId="3ABC6392" w:rsidR="005B26F8" w:rsidRDefault="005B26F8" w:rsidP="005B26F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Conoscenze</w:t>
      </w:r>
      <w:r w:rsidR="00FB6FCE">
        <w:rPr>
          <w:rFonts w:ascii="Calibri" w:eastAsia="Calibri" w:hAnsi="Calibri"/>
          <w:sz w:val="24"/>
          <w:szCs w:val="24"/>
        </w:rPr>
        <w:t xml:space="preserve"> </w:t>
      </w:r>
      <w:r w:rsidR="00FB6FCE" w:rsidRPr="005B26F8">
        <w:rPr>
          <w:rFonts w:ascii="Calibri" w:eastAsia="Calibri" w:hAnsi="Calibri"/>
          <w:b/>
          <w:sz w:val="24"/>
          <w:szCs w:val="24"/>
        </w:rPr>
        <w:t>ANA 4</w:t>
      </w:r>
      <w:r w:rsidR="00FB6FCE" w:rsidRPr="00FB6FCE">
        <w:rPr>
          <w:rFonts w:ascii="Calibri" w:eastAsia="Calibri" w:hAnsi="Calibri"/>
          <w:b/>
          <w:sz w:val="24"/>
          <w:szCs w:val="24"/>
        </w:rPr>
        <w:t xml:space="preserve">.3+ </w:t>
      </w:r>
      <w:r w:rsidR="00FB6FCE" w:rsidRPr="005B26F8">
        <w:rPr>
          <w:rFonts w:ascii="Calibri" w:eastAsia="Calibri" w:hAnsi="Calibri"/>
          <w:b/>
          <w:sz w:val="24"/>
          <w:szCs w:val="24"/>
        </w:rPr>
        <w:t>SMS4.1</w:t>
      </w:r>
      <w:r w:rsidRPr="00FB6FCE">
        <w:rPr>
          <w:rFonts w:ascii="Calibri" w:eastAsia="Calibri" w:hAnsi="Calibri"/>
          <w:b/>
          <w:sz w:val="24"/>
          <w:szCs w:val="24"/>
        </w:rPr>
        <w:t>:</w:t>
      </w:r>
    </w:p>
    <w:p w14:paraId="4BCD288D" w14:textId="77777777" w:rsidR="00FB6FCE" w:rsidRDefault="00FB6FCE" w:rsidP="00FB6FCE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sz w:val="24"/>
          <w:szCs w:val="24"/>
        </w:rPr>
      </w:pPr>
      <w:r w:rsidRPr="00FB6FCE">
        <w:rPr>
          <w:sz w:val="24"/>
          <w:szCs w:val="24"/>
        </w:rPr>
        <w:t xml:space="preserve">Elementi generali di anatomia e fisiologia dell’apparato digerente, endocrino, circolatorio, respiratorio, nervoso ed escretore. </w:t>
      </w:r>
    </w:p>
    <w:p w14:paraId="75294D9C" w14:textId="5A821785" w:rsidR="00FB6FCE" w:rsidRPr="00FB6FCE" w:rsidRDefault="00FB6FCE" w:rsidP="00FB6FCE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sz w:val="24"/>
          <w:szCs w:val="24"/>
        </w:rPr>
      </w:pPr>
      <w:r w:rsidRPr="00FB6FCE">
        <w:rPr>
          <w:sz w:val="24"/>
          <w:szCs w:val="24"/>
        </w:rPr>
        <w:t xml:space="preserve">Fisiologia della corretta alimentazione </w:t>
      </w:r>
    </w:p>
    <w:p w14:paraId="6FF9F0F3" w14:textId="160AFF85" w:rsidR="00FB6FCE" w:rsidRPr="00FB6FCE" w:rsidRDefault="00FB6FCE" w:rsidP="00FB6FCE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sz w:val="24"/>
          <w:szCs w:val="24"/>
        </w:rPr>
      </w:pPr>
      <w:r w:rsidRPr="00FB6FCE">
        <w:rPr>
          <w:sz w:val="24"/>
          <w:szCs w:val="24"/>
        </w:rPr>
        <w:t xml:space="preserve">Patologie cutanee a carico dell’apparato circolatorio. </w:t>
      </w:r>
    </w:p>
    <w:p w14:paraId="629D8ABE" w14:textId="00A76241" w:rsidR="00FB6FCE" w:rsidRPr="00FB6FCE" w:rsidRDefault="00FB6FCE" w:rsidP="00FB6FCE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sz w:val="24"/>
          <w:szCs w:val="24"/>
        </w:rPr>
      </w:pPr>
      <w:r w:rsidRPr="00FB6FCE">
        <w:rPr>
          <w:sz w:val="24"/>
          <w:szCs w:val="24"/>
        </w:rPr>
        <w:t xml:space="preserve">Conoscere struttura e funzioni degli apparati e la fisiologia della respirazione. </w:t>
      </w:r>
    </w:p>
    <w:p w14:paraId="50E08D97" w14:textId="5786B85B" w:rsidR="00FB6FCE" w:rsidRPr="00FB6FCE" w:rsidRDefault="00FB6FCE" w:rsidP="00FB6FCE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sz w:val="24"/>
          <w:szCs w:val="24"/>
        </w:rPr>
      </w:pPr>
      <w:r w:rsidRPr="00FB6FCE">
        <w:rPr>
          <w:sz w:val="24"/>
          <w:szCs w:val="24"/>
        </w:rPr>
        <w:lastRenderedPageBreak/>
        <w:t>Conoscere i principi della sana alimentazione</w:t>
      </w:r>
    </w:p>
    <w:p w14:paraId="51A4A947" w14:textId="38CF3378" w:rsidR="00FB6FCE" w:rsidRPr="00FB6FCE" w:rsidRDefault="00FB6FCE" w:rsidP="00FB6FCE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sz w:val="24"/>
          <w:szCs w:val="24"/>
        </w:rPr>
      </w:pPr>
      <w:r w:rsidRPr="00FB6FCE">
        <w:rPr>
          <w:sz w:val="24"/>
          <w:szCs w:val="24"/>
        </w:rPr>
        <w:t>Conoscere le caratteristiche anatomiche e fisiologiche fondamentali degli apparati trattati</w:t>
      </w:r>
    </w:p>
    <w:p w14:paraId="34FEF750" w14:textId="6D36286D" w:rsidR="00FB6FCE" w:rsidRPr="00FB6FCE" w:rsidRDefault="00FB6FCE" w:rsidP="00FB6FCE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sz w:val="24"/>
          <w:szCs w:val="24"/>
        </w:rPr>
      </w:pPr>
      <w:r w:rsidRPr="00FB6FCE">
        <w:rPr>
          <w:sz w:val="24"/>
          <w:szCs w:val="24"/>
        </w:rPr>
        <w:t>Gli ormoni e la salute della pelle</w:t>
      </w:r>
    </w:p>
    <w:p w14:paraId="34628ED5" w14:textId="64683688" w:rsidR="00FB6FCE" w:rsidRPr="00FB6FCE" w:rsidRDefault="00FB6FCE" w:rsidP="00FB6FCE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sz w:val="24"/>
          <w:szCs w:val="24"/>
        </w:rPr>
      </w:pPr>
      <w:r w:rsidRPr="00FB6FCE">
        <w:rPr>
          <w:sz w:val="24"/>
          <w:szCs w:val="24"/>
        </w:rPr>
        <w:t xml:space="preserve">Conosce le relazioni tra stress e salute cutanea </w:t>
      </w:r>
    </w:p>
    <w:p w14:paraId="440E41E4" w14:textId="6F1D2ECA" w:rsidR="00FB6FCE" w:rsidRPr="00FB6FCE" w:rsidRDefault="00FB6FCE" w:rsidP="00FB6FCE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sz w:val="24"/>
          <w:szCs w:val="24"/>
        </w:rPr>
      </w:pPr>
      <w:r w:rsidRPr="00FB6FCE">
        <w:rPr>
          <w:sz w:val="24"/>
          <w:szCs w:val="24"/>
        </w:rPr>
        <w:t>I meccanismi di escrezione delle sostanze intossicanti</w:t>
      </w:r>
    </w:p>
    <w:p w14:paraId="7202B0BA" w14:textId="1C885E9D" w:rsidR="00FB6FCE" w:rsidRPr="00FB6FCE" w:rsidRDefault="00FB6FCE" w:rsidP="00FB6FCE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sz w:val="24"/>
          <w:szCs w:val="24"/>
        </w:rPr>
      </w:pPr>
      <w:r w:rsidRPr="00FB6FCE">
        <w:rPr>
          <w:sz w:val="24"/>
          <w:szCs w:val="24"/>
        </w:rPr>
        <w:t>Individua i rapporti tra cattiva alimentazione e malattia.</w:t>
      </w:r>
    </w:p>
    <w:p w14:paraId="6C42B4CC" w14:textId="2509BFAE" w:rsidR="00FB6FCE" w:rsidRDefault="00FB6FCE" w:rsidP="00FB6FCE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sz w:val="24"/>
          <w:szCs w:val="24"/>
        </w:rPr>
      </w:pPr>
      <w:r w:rsidRPr="00FB6FCE">
        <w:rPr>
          <w:sz w:val="24"/>
          <w:szCs w:val="24"/>
        </w:rPr>
        <w:t>Individua la relazione tra alimentazione e salute della pelle</w:t>
      </w:r>
    </w:p>
    <w:p w14:paraId="2C802C66" w14:textId="6CE49052" w:rsidR="00FB6FCE" w:rsidRPr="00FB6FCE" w:rsidRDefault="00FB6FCE" w:rsidP="00FB6FCE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bCs/>
          <w:sz w:val="24"/>
          <w:szCs w:val="24"/>
        </w:rPr>
      </w:pPr>
      <w:r w:rsidRPr="00FB6FCE">
        <w:rPr>
          <w:rFonts w:ascii="Calibri" w:eastAsia="Calibri" w:hAnsi="Calibri"/>
          <w:b/>
          <w:bCs/>
          <w:sz w:val="24"/>
          <w:szCs w:val="24"/>
        </w:rPr>
        <w:t xml:space="preserve">Conoscenze </w:t>
      </w:r>
      <w:r w:rsidRPr="005B26F8">
        <w:rPr>
          <w:rFonts w:ascii="Calibri" w:eastAsia="Calibri" w:hAnsi="Calibri"/>
          <w:b/>
          <w:bCs/>
          <w:sz w:val="24"/>
          <w:szCs w:val="24"/>
        </w:rPr>
        <w:t>SMS4.1</w:t>
      </w:r>
      <w:r w:rsidRPr="00FB6FCE">
        <w:rPr>
          <w:rFonts w:ascii="Calibri" w:eastAsia="Calibri" w:hAnsi="Calibri"/>
          <w:b/>
          <w:bCs/>
          <w:sz w:val="24"/>
          <w:szCs w:val="24"/>
        </w:rPr>
        <w:t>:</w:t>
      </w:r>
    </w:p>
    <w:p w14:paraId="3085834C" w14:textId="77777777" w:rsidR="00FB6FCE" w:rsidRDefault="00FB6FCE" w:rsidP="00FB6FCE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sz w:val="24"/>
          <w:szCs w:val="24"/>
        </w:rPr>
      </w:pPr>
      <w:r w:rsidRPr="00FB6FCE">
        <w:rPr>
          <w:sz w:val="24"/>
          <w:szCs w:val="24"/>
        </w:rPr>
        <w:t xml:space="preserve">La ginnastica dolce, il pilates e lo yoga (e benefici psicomotori). </w:t>
      </w:r>
    </w:p>
    <w:p w14:paraId="6F5201D1" w14:textId="77777777" w:rsidR="00FB6FCE" w:rsidRDefault="00FB6FCE" w:rsidP="00FB6FCE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sz w:val="24"/>
          <w:szCs w:val="24"/>
        </w:rPr>
      </w:pPr>
      <w:r w:rsidRPr="00FB6FCE">
        <w:rPr>
          <w:sz w:val="24"/>
          <w:szCs w:val="24"/>
        </w:rPr>
        <w:t xml:space="preserve">Ginnastica posturale e correttiva: consolidamento. </w:t>
      </w:r>
    </w:p>
    <w:p w14:paraId="01E846E8" w14:textId="77777777" w:rsidR="00FB6FCE" w:rsidRPr="00FB6FCE" w:rsidRDefault="00FB6FCE" w:rsidP="00FB6FCE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sz w:val="24"/>
          <w:szCs w:val="24"/>
        </w:rPr>
      </w:pPr>
      <w:r>
        <w:rPr>
          <w:sz w:val="24"/>
          <w:szCs w:val="24"/>
        </w:rPr>
        <w:t>P</w:t>
      </w:r>
      <w:r w:rsidRPr="00FB6FCE">
        <w:rPr>
          <w:sz w:val="24"/>
          <w:szCs w:val="24"/>
        </w:rPr>
        <w:t>ostura.</w:t>
      </w:r>
    </w:p>
    <w:p w14:paraId="148AC9CC" w14:textId="77777777" w:rsidR="00FB6FCE" w:rsidRDefault="00FB6FCE" w:rsidP="00FB6FCE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sz w:val="24"/>
          <w:szCs w:val="24"/>
        </w:rPr>
      </w:pPr>
      <w:r w:rsidRPr="00FB6FCE">
        <w:rPr>
          <w:sz w:val="24"/>
          <w:szCs w:val="24"/>
        </w:rPr>
        <w:t>Il rilassamento muscolare.</w:t>
      </w:r>
    </w:p>
    <w:p w14:paraId="760726A5" w14:textId="77777777" w:rsidR="00FB6FCE" w:rsidRDefault="00FB6FCE" w:rsidP="00FB6FCE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sz w:val="24"/>
          <w:szCs w:val="24"/>
        </w:rPr>
      </w:pPr>
      <w:r w:rsidRPr="00FB6FCE">
        <w:rPr>
          <w:sz w:val="24"/>
          <w:szCs w:val="24"/>
        </w:rPr>
        <w:t>Il movimento come prevenzione: camminare, i passi della salute.</w:t>
      </w:r>
    </w:p>
    <w:p w14:paraId="72A460CC" w14:textId="7D1A53A0" w:rsidR="00FB6FCE" w:rsidRPr="00FB6FCE" w:rsidRDefault="00FB6FCE" w:rsidP="00FB6FCE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sz w:val="24"/>
          <w:szCs w:val="24"/>
        </w:rPr>
      </w:pPr>
      <w:r w:rsidRPr="00FB6FCE">
        <w:rPr>
          <w:sz w:val="24"/>
          <w:szCs w:val="24"/>
        </w:rPr>
        <w:t>Primo soccorso</w:t>
      </w:r>
    </w:p>
    <w:p w14:paraId="2E97335A" w14:textId="77777777" w:rsidR="00FB6FCE" w:rsidRPr="00FB6FCE" w:rsidRDefault="00FB6FCE" w:rsidP="00FB6FCE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/>
          <w:sz w:val="24"/>
          <w:szCs w:val="24"/>
        </w:rPr>
      </w:pPr>
    </w:p>
    <w:p w14:paraId="6F9C76C0" w14:textId="31D6139C" w:rsidR="00FB6FCE" w:rsidRPr="00FB6FCE" w:rsidRDefault="00FB6FCE" w:rsidP="00FB6FCE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 xml:space="preserve">Abilità: </w:t>
      </w:r>
      <w:r w:rsidRPr="00FB6FCE">
        <w:rPr>
          <w:rFonts w:ascii="Calibri" w:eastAsia="Calibri" w:hAnsi="Calibri"/>
          <w:sz w:val="24"/>
          <w:szCs w:val="24"/>
        </w:rPr>
        <w:t>Sa consigliare per una alimentazione corretta</w:t>
      </w:r>
      <w:r>
        <w:rPr>
          <w:rFonts w:ascii="Calibri" w:eastAsia="Calibri" w:hAnsi="Calibri"/>
          <w:sz w:val="24"/>
          <w:szCs w:val="24"/>
        </w:rPr>
        <w:t>; i</w:t>
      </w:r>
      <w:r w:rsidRPr="00FB6FCE">
        <w:rPr>
          <w:rFonts w:ascii="Calibri" w:eastAsia="Calibri" w:hAnsi="Calibri"/>
          <w:sz w:val="24"/>
          <w:szCs w:val="24"/>
        </w:rPr>
        <w:t>ndividua le relazioni tra ormoni e la salute della pelle</w:t>
      </w:r>
      <w:r>
        <w:rPr>
          <w:rFonts w:ascii="Calibri" w:eastAsia="Calibri" w:hAnsi="Calibri"/>
          <w:sz w:val="24"/>
          <w:szCs w:val="24"/>
        </w:rPr>
        <w:t>; i</w:t>
      </w:r>
      <w:r w:rsidRPr="00FB6FCE">
        <w:rPr>
          <w:rFonts w:ascii="Calibri" w:eastAsia="Calibri" w:hAnsi="Calibri"/>
          <w:sz w:val="24"/>
          <w:szCs w:val="24"/>
        </w:rPr>
        <w:t>ndividua le relazioni tra stress e la salute della pelle</w:t>
      </w:r>
      <w:r>
        <w:rPr>
          <w:rFonts w:ascii="Calibri" w:eastAsia="Calibri" w:hAnsi="Calibri"/>
          <w:sz w:val="24"/>
          <w:szCs w:val="24"/>
        </w:rPr>
        <w:t>; i</w:t>
      </w:r>
      <w:r w:rsidRPr="00FB6FCE">
        <w:rPr>
          <w:rFonts w:ascii="Calibri" w:eastAsia="Calibri" w:hAnsi="Calibri"/>
          <w:sz w:val="24"/>
          <w:szCs w:val="24"/>
        </w:rPr>
        <w:t>ndividua le strategie per migliorare le funzioni di escrezione delle sostanze intossicanti</w:t>
      </w:r>
      <w:r>
        <w:rPr>
          <w:rFonts w:ascii="Calibri" w:eastAsia="Calibri" w:hAnsi="Calibri"/>
          <w:sz w:val="24"/>
          <w:szCs w:val="24"/>
        </w:rPr>
        <w:t>.</w:t>
      </w:r>
    </w:p>
    <w:p w14:paraId="60848861" w14:textId="77777777" w:rsidR="00FB6FCE" w:rsidRPr="00FB6FCE" w:rsidRDefault="00FB6FCE" w:rsidP="00FB6FCE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 w:rsidRPr="00FB6FCE">
        <w:rPr>
          <w:rFonts w:ascii="Calibri" w:eastAsia="Calibri" w:hAnsi="Calibri"/>
          <w:sz w:val="24"/>
          <w:szCs w:val="24"/>
        </w:rPr>
        <w:t>Conosce i benefici psicomotori di ginnastica dolce, pilates e yoga e del movimento.</w:t>
      </w:r>
    </w:p>
    <w:p w14:paraId="0EC6276D" w14:textId="0D76DED0" w:rsidR="005B26F8" w:rsidRDefault="005B26F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365CCDB2" w14:textId="77777777" w:rsidR="005B26F8" w:rsidRDefault="005B26F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28AE2596" w14:textId="77777777" w:rsidR="00B7516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3. Attività o percorsi didattici concordati nel </w:t>
      </w:r>
      <w:proofErr w:type="spellStart"/>
      <w:r>
        <w:rPr>
          <w:rFonts w:ascii="Calibri" w:eastAsia="Calibri" w:hAnsi="Calibri"/>
          <w:b/>
          <w:sz w:val="24"/>
          <w:szCs w:val="24"/>
        </w:rPr>
        <w:t>CdC</w:t>
      </w:r>
      <w:proofErr w:type="spellEnd"/>
      <w:r>
        <w:rPr>
          <w:rFonts w:ascii="Calibri" w:eastAsia="Calibri" w:hAnsi="Calibri"/>
          <w:b/>
          <w:sz w:val="24"/>
          <w:szCs w:val="24"/>
        </w:rPr>
        <w:t xml:space="preserve"> a livello interdisciplinare - Educazione civica</w:t>
      </w:r>
    </w:p>
    <w:p w14:paraId="2E60F146" w14:textId="77777777" w:rsidR="00FB6FCE" w:rsidRDefault="00FB6FCE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</w:p>
    <w:p w14:paraId="3BE4C209" w14:textId="5A7750BB" w:rsidR="00B7516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(descrizione di conoscenze, abilità e competenze che si intendono raggiungere o sviluppare)</w:t>
      </w:r>
    </w:p>
    <w:p w14:paraId="144390D1" w14:textId="77777777" w:rsidR="00B75160" w:rsidRDefault="00B7516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13345E5E" w14:textId="1B8FA14D" w:rsidR="00FB6FCE" w:rsidRDefault="00000000" w:rsidP="00FB6FCE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4. Tipologie di verifica, elaborati ed esercitazioni </w:t>
      </w:r>
    </w:p>
    <w:p w14:paraId="7F1756BF" w14:textId="5B15080D" w:rsidR="00B75160" w:rsidRDefault="00B7516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</w:p>
    <w:p w14:paraId="08761A89" w14:textId="77777777" w:rsidR="00FB6FCE" w:rsidRPr="00FB6FCE" w:rsidRDefault="00FB6FCE" w:rsidP="00FB6FCE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 w:rsidRPr="00FB6FCE">
        <w:rPr>
          <w:rFonts w:ascii="Calibri" w:eastAsia="Calibri" w:hAnsi="Calibri"/>
          <w:i/>
          <w:sz w:val="24"/>
          <w:szCs w:val="24"/>
        </w:rPr>
        <w:t>Verifiche formative: test, esercizi, prove pratiche.</w:t>
      </w:r>
    </w:p>
    <w:p w14:paraId="35E4BB08" w14:textId="77777777" w:rsidR="00FB6FCE" w:rsidRPr="00FB6FCE" w:rsidRDefault="00FB6FCE" w:rsidP="00FB6FCE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 w:rsidRPr="00FB6FCE">
        <w:rPr>
          <w:rFonts w:ascii="Calibri" w:eastAsia="Calibri" w:hAnsi="Calibri"/>
          <w:i/>
          <w:sz w:val="24"/>
          <w:szCs w:val="24"/>
        </w:rPr>
        <w:t xml:space="preserve">Verifiche sommative: prove pratiche, scritte e orali strutturate e </w:t>
      </w:r>
      <w:proofErr w:type="spellStart"/>
      <w:r w:rsidRPr="00FB6FCE">
        <w:rPr>
          <w:rFonts w:ascii="Calibri" w:eastAsia="Calibri" w:hAnsi="Calibri"/>
          <w:i/>
          <w:sz w:val="24"/>
          <w:szCs w:val="24"/>
        </w:rPr>
        <w:t>semistrutturate</w:t>
      </w:r>
      <w:proofErr w:type="spellEnd"/>
      <w:r w:rsidRPr="00FB6FCE">
        <w:rPr>
          <w:rFonts w:ascii="Calibri" w:eastAsia="Calibri" w:hAnsi="Calibri"/>
          <w:i/>
          <w:sz w:val="24"/>
          <w:szCs w:val="24"/>
        </w:rPr>
        <w:t>.</w:t>
      </w:r>
    </w:p>
    <w:p w14:paraId="22E803C4" w14:textId="77777777" w:rsidR="00FB6FCE" w:rsidRPr="00FB6FCE" w:rsidRDefault="00FB6FCE" w:rsidP="00FB6FCE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</w:p>
    <w:p w14:paraId="75B922C2" w14:textId="77777777" w:rsidR="00FB6FCE" w:rsidRDefault="00FB6FCE" w:rsidP="00FB6FCE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5. Criteri per le valutazioni</w:t>
      </w:r>
      <w:r>
        <w:rPr>
          <w:rFonts w:ascii="Calibri" w:eastAsia="Calibri" w:hAnsi="Calibri"/>
          <w:sz w:val="24"/>
          <w:szCs w:val="24"/>
        </w:rPr>
        <w:t xml:space="preserve"> </w:t>
      </w:r>
    </w:p>
    <w:p w14:paraId="28C47B24" w14:textId="77777777" w:rsidR="00FB6FCE" w:rsidRPr="00FB6FCE" w:rsidRDefault="00FB6FCE" w:rsidP="00FB6FCE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 w:rsidRPr="00FB6FCE">
        <w:rPr>
          <w:rFonts w:ascii="Calibri" w:eastAsia="Calibri" w:hAnsi="Calibri"/>
          <w:i/>
          <w:sz w:val="24"/>
          <w:szCs w:val="24"/>
        </w:rPr>
        <w:t>I criteri di valutazione faranno riferimento alle conoscenze, competenze e capacità acquisite.</w:t>
      </w:r>
    </w:p>
    <w:p w14:paraId="14B4E408" w14:textId="17D5B816" w:rsidR="00FB6FCE" w:rsidRPr="00FB6FCE" w:rsidRDefault="00FB6FCE" w:rsidP="00FB6FCE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 w:rsidRPr="00FB6FCE">
        <w:rPr>
          <w:rFonts w:ascii="Calibri" w:eastAsia="Calibri" w:hAnsi="Calibri"/>
          <w:i/>
          <w:sz w:val="24"/>
          <w:szCs w:val="24"/>
        </w:rPr>
        <w:t>I suddetti criteri saranno esplicitati in griglie di valutazione che saranno mostrate e illustrate alle alunne in modo che diventino consapevoli dei propri processi di apprendimento.</w:t>
      </w:r>
    </w:p>
    <w:p w14:paraId="4AFA67E5" w14:textId="77777777" w:rsidR="00B75160" w:rsidRDefault="00B7516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03709C2E" w14:textId="77777777" w:rsidR="00B75160" w:rsidRDefault="00B7516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122437FA" w14:textId="77777777" w:rsidR="00B7516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6. Metodi e strategie didattiche </w:t>
      </w:r>
    </w:p>
    <w:p w14:paraId="12842C31" w14:textId="77777777" w:rsidR="00B7516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(in particolare indicare quelle finalizzate a mantenere l’interesse, a sviluppare la motivazione all’apprendimento, al recupero di conoscenze e abilità, al raggiungimento di obiettivi di competenza)</w:t>
      </w:r>
    </w:p>
    <w:p w14:paraId="73A01A61" w14:textId="77777777" w:rsidR="00B75160" w:rsidRDefault="00B7516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88CACEE" w14:textId="77777777" w:rsidR="00B75160" w:rsidRDefault="00B75160">
      <w:pPr>
        <w:tabs>
          <w:tab w:val="center" w:pos="7088"/>
        </w:tabs>
        <w:spacing w:before="100" w:after="100"/>
        <w:rPr>
          <w:rFonts w:ascii="Calibri" w:eastAsia="Calibri" w:hAnsi="Calibri"/>
          <w:sz w:val="20"/>
          <w:szCs w:val="20"/>
        </w:rPr>
      </w:pPr>
    </w:p>
    <w:p w14:paraId="47D33187" w14:textId="77777777" w:rsidR="00B75160" w:rsidRDefault="00B75160">
      <w:pPr>
        <w:tabs>
          <w:tab w:val="center" w:pos="7088"/>
        </w:tabs>
        <w:spacing w:before="100" w:after="100"/>
        <w:rPr>
          <w:rFonts w:ascii="Calibri" w:eastAsia="Calibri" w:hAnsi="Calibri"/>
          <w:sz w:val="24"/>
          <w:szCs w:val="24"/>
        </w:rPr>
      </w:pPr>
    </w:p>
    <w:p w14:paraId="0C1FE6AE" w14:textId="60D4C63B" w:rsidR="00B75160" w:rsidRDefault="00000000">
      <w:pPr>
        <w:tabs>
          <w:tab w:val="center" w:pos="7088"/>
        </w:tabs>
        <w:spacing w:before="100" w:after="100"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Pisa l</w:t>
      </w:r>
      <w:r w:rsidR="004F3A36">
        <w:rPr>
          <w:rFonts w:ascii="Calibri" w:eastAsia="Calibri" w:hAnsi="Calibri"/>
          <w:sz w:val="24"/>
          <w:szCs w:val="24"/>
        </w:rPr>
        <w:t>ì, 26/11/2024</w:t>
      </w:r>
      <w:r>
        <w:rPr>
          <w:rFonts w:ascii="Calibri" w:eastAsia="Calibri" w:hAnsi="Calibri"/>
          <w:sz w:val="24"/>
          <w:szCs w:val="24"/>
        </w:rPr>
        <w:tab/>
        <w:t xml:space="preserve">                                   </w:t>
      </w:r>
      <w:r w:rsidR="004F3A36">
        <w:rPr>
          <w:rFonts w:ascii="Calibri" w:eastAsia="Calibri" w:hAnsi="Calibri"/>
          <w:sz w:val="24"/>
          <w:szCs w:val="24"/>
        </w:rPr>
        <w:t>La docente Prof.ssa Agnese Muscarello</w:t>
      </w:r>
    </w:p>
    <w:sectPr w:rsidR="00B75160">
      <w:pgSz w:w="11906" w:h="16838"/>
      <w:pgMar w:top="426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56A8B95-655F-4551-BE11-62283E5C2B65}"/>
    <w:embedBold r:id="rId2" w:fontKey="{28F7CE0D-22A4-43AB-9A45-B03D690F66DE}"/>
    <w:embedItalic r:id="rId3" w:fontKey="{E9DC2503-1F14-40CA-A7F7-F6616939C29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FE56AF3-94C7-4CF1-8235-036AA67AA6BA}"/>
    <w:embedBold r:id="rId5" w:fontKey="{B4A06821-DD5B-4A8C-B3B3-0226A16C9DB5}"/>
    <w:embedBoldItalic r:id="rId6" w:fontKey="{82E6A397-17CF-4E0E-BD98-B78D063DE5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B4142A3-E33A-4D15-B1F6-44956F946FE0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8" w:fontKey="{75B84246-03BD-409C-B94F-452A48D37084}"/>
    <w:embedItalic r:id="rId9" w:fontKey="{3E70F273-4518-431D-B160-DF27B0BFE75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3ADE1714-D490-455F-8F42-E122E66A4680}"/>
    <w:embedItalic r:id="rId11" w:fontKey="{6D319396-E862-4137-82FC-1D401EFFE504}"/>
  </w:font>
  <w:font w:name="FreeSerif">
    <w:altName w:val="Calibri"/>
    <w:charset w:val="00"/>
    <w:family w:val="auto"/>
    <w:pitch w:val="default"/>
  </w:font>
  <w:font w:name="Liberation Sans Narrow">
    <w:altName w:val="Arial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45467E"/>
    <w:multiLevelType w:val="hybridMultilevel"/>
    <w:tmpl w:val="410CD71E"/>
    <w:lvl w:ilvl="0" w:tplc="210659F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47440F"/>
    <w:multiLevelType w:val="multilevel"/>
    <w:tmpl w:val="67AC98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4A1147C"/>
    <w:multiLevelType w:val="multilevel"/>
    <w:tmpl w:val="06904284"/>
    <w:lvl w:ilvl="0">
      <w:start w:val="1"/>
      <w:numFmt w:val="decimal"/>
      <w:pStyle w:val="Tito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o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658655927">
    <w:abstractNumId w:val="2"/>
  </w:num>
  <w:num w:numId="2" w16cid:durableId="1693149454">
    <w:abstractNumId w:val="0"/>
  </w:num>
  <w:num w:numId="3" w16cid:durableId="18523317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160"/>
    <w:rsid w:val="00247943"/>
    <w:rsid w:val="00303F7B"/>
    <w:rsid w:val="004F3A36"/>
    <w:rsid w:val="005B26F8"/>
    <w:rsid w:val="009D2C8F"/>
    <w:rsid w:val="00B75160"/>
    <w:rsid w:val="00DD0ECA"/>
    <w:rsid w:val="00FB6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6EE73"/>
  <w15:docId w15:val="{CDCA7832-9B55-498F-8C5D-192D7BC36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6"/>
        <w:szCs w:val="26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rFonts w:cs="Calibri"/>
      <w:lang w:eastAsia="ar-SA"/>
    </w:rPr>
  </w:style>
  <w:style w:type="paragraph" w:styleId="Titolo1">
    <w:name w:val="heading 1"/>
    <w:basedOn w:val="Normale"/>
    <w:next w:val="Normale"/>
    <w:uiPriority w:val="9"/>
    <w:qFormat/>
    <w:pPr>
      <w:keepNext/>
      <w:numPr>
        <w:numId w:val="1"/>
      </w:numPr>
      <w:spacing w:before="100" w:after="100"/>
      <w:jc w:val="center"/>
      <w:outlineLvl w:val="0"/>
    </w:pPr>
    <w:rPr>
      <w:rFonts w:ascii="Tahoma" w:hAnsi="Tahoma" w:cs="Tahoma"/>
      <w:b/>
      <w:i/>
      <w:sz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numPr>
        <w:ilvl w:val="3"/>
        <w:numId w:val="1"/>
      </w:numPr>
      <w:spacing w:before="100" w:after="100"/>
      <w:outlineLvl w:val="3"/>
    </w:pPr>
    <w:rPr>
      <w:rFonts w:ascii="Tahoma" w:hAnsi="Tahoma" w:cs="Tahoma"/>
      <w:b/>
      <w:sz w:val="2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hAnsi="Times New Roman" w:cs="Times New Roman"/>
      <w:b w:val="0"/>
      <w:i w:val="0"/>
      <w:caps w:val="0"/>
      <w:smallCaps w:val="0"/>
      <w:strike w:val="0"/>
      <w:dstrike w:val="0"/>
      <w:vanish w:val="0"/>
      <w:color w:val="000000"/>
      <w:position w:val="0"/>
      <w:sz w:val="22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z1">
    <w:name w:val="WW8Num2z1"/>
    <w:rPr>
      <w:rFonts w:ascii="Times New Roman" w:hAnsi="Times New Roman" w:cs="Times New Roman"/>
      <w:b w:val="0"/>
      <w:i w:val="0"/>
      <w:sz w:val="22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alibri" w:hAnsi="Calibri" w:cs="Arial"/>
      <w:b/>
      <w:sz w:val="20"/>
      <w:szCs w:val="18"/>
    </w:rPr>
  </w:style>
  <w:style w:type="character" w:customStyle="1" w:styleId="WW8Num3z1">
    <w:name w:val="WW8Num3z1"/>
  </w:style>
  <w:style w:type="character" w:customStyle="1" w:styleId="WW8Num4z0">
    <w:name w:val="WW8Num4z0"/>
    <w:rPr>
      <w:rFonts w:ascii="Calibri" w:eastAsia="Calibri" w:hAnsi="Calibri" w:cs="Times New Roman"/>
      <w:sz w:val="24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Carpredefinitoparagrafo1">
    <w:name w:val="Car. predefinito paragrafo1"/>
  </w:style>
  <w:style w:type="character" w:customStyle="1" w:styleId="Titolo1Carattere">
    <w:name w:val="Titolo 1 Carattere"/>
    <w:basedOn w:val="Carpredefinitoparagrafo1"/>
    <w:rPr>
      <w:rFonts w:ascii="Tahoma" w:eastAsia="Times New Roman" w:hAnsi="Tahoma" w:cs="Tahoma"/>
      <w:b/>
      <w:i/>
      <w:color w:val="000000"/>
    </w:rPr>
  </w:style>
  <w:style w:type="character" w:customStyle="1" w:styleId="Titolo4Carattere">
    <w:name w:val="Titolo 4 Carattere"/>
    <w:basedOn w:val="Carpredefinitoparagrafo1"/>
    <w:rPr>
      <w:rFonts w:ascii="Tahoma" w:eastAsia="Times New Roman" w:hAnsi="Tahoma" w:cs="Tahoma"/>
      <w:b/>
      <w:color w:val="000000"/>
      <w:sz w:val="20"/>
    </w:rPr>
  </w:style>
  <w:style w:type="character" w:customStyle="1" w:styleId="Caratteredellanota">
    <w:name w:val="Carattere della nota"/>
    <w:basedOn w:val="Carpredefinitoparagrafo1"/>
    <w:rPr>
      <w:vertAlign w:val="superscript"/>
    </w:rPr>
  </w:style>
  <w:style w:type="character" w:customStyle="1" w:styleId="Rimandonotaapidipagina1">
    <w:name w:val="Rimando nota a piè di pagina1"/>
    <w:rPr>
      <w:vertAlign w:val="superscript"/>
    </w:rPr>
  </w:style>
  <w:style w:type="character" w:styleId="Collegamentoipertestuale">
    <w:name w:val="Hyperlink"/>
    <w:rPr>
      <w:color w:val="000080"/>
      <w:u w:val="single"/>
    </w:rPr>
  </w:style>
  <w:style w:type="character" w:customStyle="1" w:styleId="CorpodeltestoCarattere">
    <w:name w:val="Corpo del testo Carattere"/>
    <w:basedOn w:val="Carpredefinitoparagrafo1"/>
    <w:rPr>
      <w:rFonts w:ascii="Times New Roman" w:eastAsia="Times New Roman" w:hAnsi="Times New Roman" w:cs="Calibri"/>
      <w:color w:val="000000"/>
      <w:sz w:val="26"/>
    </w:rPr>
  </w:style>
  <w:style w:type="character" w:customStyle="1" w:styleId="TestonotaapidipaginaCarattere">
    <w:name w:val="Testo nota a piè di pagina Carattere"/>
    <w:basedOn w:val="Carpredefinitoparagrafo1"/>
    <w:rPr>
      <w:rFonts w:ascii="Times New Roman" w:eastAsia="Times New Roman" w:hAnsi="Times New Roman" w:cs="Calibri"/>
      <w:color w:val="000000"/>
      <w:sz w:val="20"/>
    </w:rPr>
  </w:style>
  <w:style w:type="character" w:customStyle="1" w:styleId="PidipaginaCarattere">
    <w:name w:val="Piè di pagina Carattere"/>
    <w:basedOn w:val="Carpredefinitoparagrafo1"/>
    <w:rPr>
      <w:rFonts w:ascii="Cambria" w:eastAsia="Cambria" w:hAnsi="Cambria" w:cs="Cambria"/>
      <w:color w:val="000000"/>
      <w:szCs w:val="24"/>
    </w:rPr>
  </w:style>
  <w:style w:type="character" w:customStyle="1" w:styleId="TestofumettoCarattere">
    <w:name w:val="Testo fumetto Carattere"/>
    <w:basedOn w:val="Carpredefinitoparagrafo1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Intestazione2">
    <w:name w:val="Intestazione2"/>
    <w:basedOn w:val="Normale"/>
    <w:next w:val="Corpo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styleId="Testonotaapidipagina">
    <w:name w:val="footnote text"/>
    <w:basedOn w:val="Normale"/>
    <w:rPr>
      <w:sz w:val="20"/>
    </w:rPr>
  </w:style>
  <w:style w:type="paragraph" w:customStyle="1" w:styleId="Intestazione1">
    <w:name w:val="Intestazione1"/>
    <w:basedOn w:val="Normale"/>
    <w:next w:val="Corpotesto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  <w:suppressAutoHyphens w:val="0"/>
    </w:pPr>
    <w:rPr>
      <w:rFonts w:ascii="Cambria" w:eastAsia="Cambria" w:hAnsi="Cambria" w:cs="Cambria"/>
      <w:sz w:val="24"/>
      <w:szCs w:val="24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qFormat/>
    <w:pPr>
      <w:suppressAutoHyphens w:val="0"/>
      <w:spacing w:after="200" w:line="276" w:lineRule="auto"/>
      <w:ind w:left="720"/>
    </w:pPr>
    <w:rPr>
      <w:rFonts w:ascii="Calibri" w:eastAsia="Calibri" w:hAnsi="Calibri" w:cs="Times New Roman"/>
      <w:sz w:val="22"/>
      <w:szCs w:val="22"/>
    </w:rPr>
  </w:style>
  <w:style w:type="paragraph" w:customStyle="1" w:styleId="Contenutotabella">
    <w:name w:val="Contenuto tabella"/>
    <w:basedOn w:val="Normale"/>
    <w:qFormat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6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dtnABWpnO5DFZTxCVWgE77BoxQ==">CgMxLjAyCGguZ2pkZ3hzMg5oLjRtdXo1NHd6N25pNzIOaC4xaTRndnZta3k2bGYyDmguanJzZjB2MTd5OXVwMg5oLmw0bG44dGs1ZjVtaTIOaC5rejUzcjhkY2ptYmI4AHIhMVFGbFk1TVhRVDBUbmtOcUVhTmdSWENNcWNhVkgxZndV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814</Words>
  <Characters>4645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fiber</dc:creator>
  <cp:lastModifiedBy>Agnese Muscarello</cp:lastModifiedBy>
  <cp:revision>4</cp:revision>
  <dcterms:created xsi:type="dcterms:W3CDTF">2019-09-15T12:45:00Z</dcterms:created>
  <dcterms:modified xsi:type="dcterms:W3CDTF">2024-11-26T13:38:00Z</dcterms:modified>
</cp:coreProperties>
</file>